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1A" w:rsidRDefault="00711C1A" w:rsidP="00711C1A">
      <w:pPr>
        <w:pStyle w:val="Overskrift1"/>
      </w:pPr>
      <w:bookmarkStart w:id="0" w:name="_GoBack"/>
      <w:bookmarkEnd w:id="0"/>
      <w:r w:rsidRPr="00106F34">
        <w:t xml:space="preserve">Veiledning </w:t>
      </w:r>
      <w:r>
        <w:t xml:space="preserve">og skjema </w:t>
      </w:r>
      <w:r w:rsidRPr="00106F34">
        <w:t>til årlig rapportering</w:t>
      </w:r>
      <w:r>
        <w:t xml:space="preserve"> av sikkerhetsindikatorer</w:t>
      </w:r>
      <w:r w:rsidRPr="00106F34">
        <w:t xml:space="preserve"> etter sikkerhets</w:t>
      </w:r>
      <w:r>
        <w:t>styringsforskriften § 8</w:t>
      </w:r>
      <w:r w:rsidRPr="00106F34">
        <w:t>-</w:t>
      </w:r>
      <w:r>
        <w:t>1</w:t>
      </w:r>
      <w:r w:rsidRPr="00106F34">
        <w:t xml:space="preserve"> </w:t>
      </w:r>
      <w:r>
        <w:t>første ledd (veiledning om årlig rapportering av sikkerhetsindikatorer)</w:t>
      </w:r>
    </w:p>
    <w:p w:rsidR="00711C1A" w:rsidRPr="00711C1A" w:rsidRDefault="00711C1A" w:rsidP="00711C1A">
      <w:pPr>
        <w:rPr>
          <w:lang w:eastAsia="nb-NO"/>
        </w:rPr>
      </w:pPr>
    </w:p>
    <w:p w:rsidR="00711C1A" w:rsidRPr="004633B2" w:rsidRDefault="00711C1A" w:rsidP="00711C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Utgivelsesdato: </w:t>
      </w:r>
      <w:r w:rsidR="00D66F21">
        <w:rPr>
          <w:rFonts w:ascii="Arial" w:hAnsi="Arial" w:cs="Arial"/>
          <w:b/>
        </w:rPr>
        <w:t>08.01.15</w:t>
      </w:r>
    </w:p>
    <w:p w:rsidR="00711C1A" w:rsidRPr="00D001FA" w:rsidRDefault="00711C1A" w:rsidP="00711C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Dette er en v</w:t>
      </w:r>
      <w:r w:rsidRPr="00D001FA">
        <w:rPr>
          <w:rFonts w:ascii="Arial" w:hAnsi="Arial" w:cs="Arial"/>
          <w:sz w:val="20"/>
          <w:szCs w:val="20"/>
        </w:rPr>
        <w:t xml:space="preserve">eiledning til forskrift </w:t>
      </w:r>
      <w:r>
        <w:rPr>
          <w:rFonts w:ascii="Arial" w:hAnsi="Arial" w:cs="Arial"/>
          <w:sz w:val="20"/>
          <w:szCs w:val="20"/>
        </w:rPr>
        <w:t>11</w:t>
      </w:r>
      <w:r w:rsidRPr="00D001F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april</w:t>
      </w:r>
      <w:r w:rsidRPr="00D001FA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11</w:t>
      </w:r>
      <w:r w:rsidRPr="00D001FA">
        <w:rPr>
          <w:rFonts w:ascii="Arial" w:hAnsi="Arial" w:cs="Arial"/>
          <w:sz w:val="20"/>
          <w:szCs w:val="20"/>
        </w:rPr>
        <w:t xml:space="preserve"> nr. </w:t>
      </w:r>
      <w:r>
        <w:rPr>
          <w:rFonts w:ascii="Arial" w:hAnsi="Arial" w:cs="Arial"/>
          <w:sz w:val="20"/>
          <w:szCs w:val="20"/>
        </w:rPr>
        <w:t>389</w:t>
      </w:r>
      <w:r w:rsidRPr="00D001FA">
        <w:rPr>
          <w:rFonts w:ascii="Arial" w:hAnsi="Arial" w:cs="Arial"/>
          <w:sz w:val="20"/>
          <w:szCs w:val="20"/>
        </w:rPr>
        <w:t xml:space="preserve"> om </w:t>
      </w:r>
      <w:r w:rsidR="0059032B">
        <w:rPr>
          <w:rFonts w:ascii="Arial" w:hAnsi="Arial" w:cs="Arial"/>
          <w:sz w:val="20"/>
          <w:szCs w:val="20"/>
        </w:rPr>
        <w:t xml:space="preserve">sikkerhetsstyring for jernbanevirksomheter på det nasjonale jernbanenettet </w:t>
      </w:r>
      <w:r w:rsidRPr="00D001FA">
        <w:rPr>
          <w:rFonts w:ascii="Arial" w:hAnsi="Arial" w:cs="Arial"/>
          <w:sz w:val="20"/>
          <w:szCs w:val="20"/>
        </w:rPr>
        <w:t>(sikkerhets</w:t>
      </w:r>
      <w:r>
        <w:rPr>
          <w:rFonts w:ascii="Arial" w:hAnsi="Arial" w:cs="Arial"/>
          <w:sz w:val="20"/>
          <w:szCs w:val="20"/>
        </w:rPr>
        <w:t>styringsforskriften) § 8</w:t>
      </w:r>
      <w:r w:rsidRPr="00D001F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1 første ledd om </w:t>
      </w:r>
      <w:r w:rsidRPr="00D001FA">
        <w:rPr>
          <w:rFonts w:ascii="Arial" w:hAnsi="Arial" w:cs="Arial"/>
          <w:sz w:val="20"/>
          <w:szCs w:val="20"/>
        </w:rPr>
        <w:t>årlig rapportering av sikkerhetsindikatorer</w:t>
      </w:r>
      <w:r>
        <w:rPr>
          <w:rFonts w:ascii="Arial" w:hAnsi="Arial" w:cs="Arial"/>
          <w:sz w:val="20"/>
          <w:szCs w:val="20"/>
        </w:rPr>
        <w:t>.</w:t>
      </w:r>
    </w:p>
    <w:p w:rsidR="00711C1A" w:rsidRDefault="00711C1A" w:rsidP="00711C1A">
      <w:pPr>
        <w:rPr>
          <w:rFonts w:ascii="Arial" w:hAnsi="Arial" w:cs="Arial"/>
          <w:sz w:val="20"/>
          <w:szCs w:val="20"/>
        </w:rPr>
      </w:pPr>
      <w:r w:rsidRPr="00D001FA">
        <w:rPr>
          <w:rFonts w:ascii="Arial" w:hAnsi="Arial" w:cs="Arial"/>
          <w:sz w:val="20"/>
          <w:szCs w:val="20"/>
        </w:rPr>
        <w:t>Sikkerhets</w:t>
      </w:r>
      <w:r>
        <w:rPr>
          <w:rFonts w:ascii="Arial" w:hAnsi="Arial" w:cs="Arial"/>
          <w:sz w:val="20"/>
          <w:szCs w:val="20"/>
        </w:rPr>
        <w:t>styrings</w:t>
      </w:r>
      <w:r w:rsidRPr="00D001FA">
        <w:rPr>
          <w:rFonts w:ascii="Arial" w:hAnsi="Arial" w:cs="Arial"/>
          <w:sz w:val="20"/>
          <w:szCs w:val="20"/>
        </w:rPr>
        <w:t>forskriften gjelder for jernbanevirksomheter på det nasjonale jernbanenettet</w:t>
      </w:r>
      <w:r w:rsidR="0059032B">
        <w:rPr>
          <w:rFonts w:ascii="Arial" w:hAnsi="Arial" w:cs="Arial"/>
          <w:sz w:val="20"/>
          <w:szCs w:val="20"/>
        </w:rPr>
        <w:t xml:space="preserve"> jf. sikkerhetsstyringsforskriften § 1-1</w:t>
      </w:r>
      <w:r w:rsidRPr="00D001FA">
        <w:rPr>
          <w:rFonts w:ascii="Arial" w:hAnsi="Arial" w:cs="Arial"/>
          <w:sz w:val="20"/>
          <w:szCs w:val="20"/>
        </w:rPr>
        <w:t>.</w:t>
      </w:r>
    </w:p>
    <w:p w:rsidR="00711C1A" w:rsidRPr="00D001FA" w:rsidRDefault="00711C1A" w:rsidP="00711C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Utfyllingsskjema for rapportering av sikkerhetsindikatorer </w:t>
      </w:r>
      <w:r w:rsidR="0059032B">
        <w:rPr>
          <w:rFonts w:ascii="Arial" w:hAnsi="Arial" w:cs="Arial"/>
          <w:sz w:val="20"/>
          <w:szCs w:val="20"/>
        </w:rPr>
        <w:t>finnes</w:t>
      </w:r>
      <w:r>
        <w:rPr>
          <w:rFonts w:ascii="Arial" w:hAnsi="Arial" w:cs="Arial"/>
          <w:sz w:val="20"/>
          <w:szCs w:val="20"/>
        </w:rPr>
        <w:t xml:space="preserve"> på side 3 </w:t>
      </w:r>
      <w:r w:rsidR="00942301">
        <w:rPr>
          <w:rFonts w:ascii="Arial" w:hAnsi="Arial" w:cs="Arial"/>
          <w:sz w:val="20"/>
          <w:szCs w:val="20"/>
        </w:rPr>
        <w:t>til 6.</w:t>
      </w:r>
      <w:r w:rsidR="00D57AAC">
        <w:rPr>
          <w:rFonts w:ascii="Arial" w:hAnsi="Arial" w:cs="Arial"/>
          <w:sz w:val="20"/>
          <w:szCs w:val="20"/>
        </w:rPr>
        <w:t xml:space="preserve"> Side 6 skal kun rapporteres av infrastrukturforvalter.</w:t>
      </w:r>
    </w:p>
    <w:p w:rsidR="00711C1A" w:rsidRPr="00D001FA" w:rsidRDefault="00711C1A" w:rsidP="00711C1A">
      <w:pPr>
        <w:ind w:left="420"/>
        <w:rPr>
          <w:rFonts w:ascii="Arial" w:hAnsi="Arial" w:cs="Arial"/>
          <w:sz w:val="20"/>
          <w:szCs w:val="20"/>
        </w:rPr>
      </w:pPr>
    </w:p>
    <w:p w:rsidR="00711C1A" w:rsidRPr="00106F34" w:rsidRDefault="00711C1A" w:rsidP="00711C1A">
      <w:pPr>
        <w:pStyle w:val="Overskrift1"/>
      </w:pPr>
      <w:r w:rsidRPr="00106F34">
        <w:t>Krav til årlig rapportering etter sikkerhets</w:t>
      </w:r>
      <w:r>
        <w:t>styringsforskriften § 8</w:t>
      </w:r>
      <w:r w:rsidRPr="00106F34">
        <w:t>-</w:t>
      </w:r>
      <w:r>
        <w:t>1 første ledd</w:t>
      </w:r>
    </w:p>
    <w:p w:rsidR="00711C1A" w:rsidRDefault="00711C1A" w:rsidP="00711C1A">
      <w:pPr>
        <w:rPr>
          <w:rFonts w:ascii="Arial" w:hAnsi="Arial" w:cs="Arial"/>
          <w:sz w:val="20"/>
          <w:szCs w:val="20"/>
        </w:rPr>
      </w:pPr>
      <w:r w:rsidRPr="00D001FA">
        <w:rPr>
          <w:rFonts w:ascii="Arial" w:hAnsi="Arial" w:cs="Arial"/>
          <w:sz w:val="20"/>
          <w:szCs w:val="20"/>
        </w:rPr>
        <w:t>Det følger av sikkerhets</w:t>
      </w:r>
      <w:r>
        <w:rPr>
          <w:rFonts w:ascii="Arial" w:hAnsi="Arial" w:cs="Arial"/>
          <w:sz w:val="20"/>
          <w:szCs w:val="20"/>
        </w:rPr>
        <w:t>styringsforskriften § 8</w:t>
      </w:r>
      <w:r w:rsidRPr="00D001F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1 første ledd </w:t>
      </w:r>
      <w:r w:rsidRPr="00D001FA">
        <w:rPr>
          <w:rFonts w:ascii="Arial" w:hAnsi="Arial" w:cs="Arial"/>
          <w:sz w:val="20"/>
          <w:szCs w:val="20"/>
        </w:rPr>
        <w:t xml:space="preserve">at den som driver jernbanevirksomhet skal </w:t>
      </w:r>
      <w:r>
        <w:rPr>
          <w:rFonts w:ascii="Arial" w:hAnsi="Arial" w:cs="Arial"/>
          <w:sz w:val="20"/>
          <w:szCs w:val="20"/>
        </w:rPr>
        <w:t xml:space="preserve">årlig </w:t>
      </w:r>
      <w:r w:rsidRPr="00D001FA">
        <w:rPr>
          <w:rFonts w:ascii="Arial" w:hAnsi="Arial" w:cs="Arial"/>
          <w:sz w:val="20"/>
          <w:szCs w:val="20"/>
        </w:rPr>
        <w:t xml:space="preserve">rapportere </w:t>
      </w:r>
      <w:r>
        <w:rPr>
          <w:rFonts w:ascii="Arial" w:hAnsi="Arial" w:cs="Arial"/>
          <w:sz w:val="20"/>
          <w:szCs w:val="20"/>
        </w:rPr>
        <w:t xml:space="preserve">sikkerhetsindikatorer </w:t>
      </w:r>
      <w:r w:rsidRPr="00D001FA">
        <w:rPr>
          <w:rFonts w:ascii="Arial" w:hAnsi="Arial" w:cs="Arial"/>
          <w:sz w:val="20"/>
          <w:szCs w:val="20"/>
        </w:rPr>
        <w:t>som skal sendes tilsynet</w:t>
      </w:r>
      <w:r w:rsidR="0059032B">
        <w:rPr>
          <w:rFonts w:ascii="Arial" w:hAnsi="Arial" w:cs="Arial"/>
          <w:sz w:val="20"/>
          <w:szCs w:val="20"/>
        </w:rPr>
        <w:t xml:space="preserve"> innen den frist Statens jernbanetilsyn bestemmer. </w:t>
      </w:r>
      <w:r w:rsidR="003F5C5B">
        <w:rPr>
          <w:rFonts w:ascii="Arial" w:hAnsi="Arial" w:cs="Arial"/>
          <w:sz w:val="20"/>
          <w:szCs w:val="20"/>
        </w:rPr>
        <w:t>Rapporteringen skal skje</w:t>
      </w:r>
      <w:r w:rsidRPr="00D001FA">
        <w:rPr>
          <w:rFonts w:ascii="Arial" w:hAnsi="Arial" w:cs="Arial"/>
          <w:sz w:val="20"/>
          <w:szCs w:val="20"/>
        </w:rPr>
        <w:t xml:space="preserve"> </w:t>
      </w:r>
      <w:r w:rsidRPr="00942301">
        <w:rPr>
          <w:rFonts w:ascii="Arial" w:hAnsi="Arial" w:cs="Arial"/>
          <w:sz w:val="20"/>
          <w:szCs w:val="20"/>
          <w:u w:val="single"/>
        </w:rPr>
        <w:t>innen 31. januar</w:t>
      </w:r>
      <w:r w:rsidRPr="00D001FA">
        <w:rPr>
          <w:rFonts w:ascii="Arial" w:hAnsi="Arial" w:cs="Arial"/>
          <w:sz w:val="20"/>
          <w:szCs w:val="20"/>
        </w:rPr>
        <w:t xml:space="preserve">. </w:t>
      </w:r>
    </w:p>
    <w:p w:rsidR="00711C1A" w:rsidRPr="00D001FA" w:rsidRDefault="00711C1A" w:rsidP="00711C1A">
      <w:pPr>
        <w:rPr>
          <w:rFonts w:ascii="Arial" w:hAnsi="Arial" w:cs="Arial"/>
          <w:sz w:val="20"/>
          <w:szCs w:val="20"/>
        </w:rPr>
      </w:pPr>
    </w:p>
    <w:p w:rsidR="00711C1A" w:rsidRPr="00106F34" w:rsidRDefault="00711C1A" w:rsidP="00711C1A">
      <w:pPr>
        <w:pStyle w:val="Overskrift1"/>
      </w:pPr>
      <w:r w:rsidRPr="00106F34">
        <w:t>Formål og virkeområde</w:t>
      </w:r>
    </w:p>
    <w:p w:rsidR="00711C1A" w:rsidRPr="00D001FA" w:rsidRDefault="00711C1A" w:rsidP="00711C1A">
      <w:pPr>
        <w:rPr>
          <w:rFonts w:ascii="Arial" w:hAnsi="Arial" w:cs="Arial"/>
          <w:sz w:val="20"/>
          <w:szCs w:val="20"/>
        </w:rPr>
      </w:pPr>
      <w:r w:rsidRPr="00D001FA">
        <w:rPr>
          <w:rFonts w:ascii="Arial" w:hAnsi="Arial" w:cs="Arial"/>
          <w:sz w:val="20"/>
          <w:szCs w:val="20"/>
        </w:rPr>
        <w:t xml:space="preserve">Formålet med denne veiledningen er å beskrive hva som skal rapporteres til Statens jernbanetilsyn i forbindelse med </w:t>
      </w:r>
      <w:r>
        <w:rPr>
          <w:rFonts w:ascii="Arial" w:hAnsi="Arial" w:cs="Arial"/>
          <w:sz w:val="20"/>
          <w:szCs w:val="20"/>
        </w:rPr>
        <w:t>rapportering av sikkerhetsindikatorer</w:t>
      </w:r>
      <w:r w:rsidRPr="00D001FA">
        <w:rPr>
          <w:rFonts w:ascii="Arial" w:hAnsi="Arial" w:cs="Arial"/>
          <w:sz w:val="20"/>
          <w:szCs w:val="20"/>
        </w:rPr>
        <w:t xml:space="preserve">. </w:t>
      </w:r>
    </w:p>
    <w:p w:rsidR="00711C1A" w:rsidRPr="00D001FA" w:rsidRDefault="00711C1A" w:rsidP="00711C1A">
      <w:pPr>
        <w:rPr>
          <w:rFonts w:ascii="Arial" w:hAnsi="Arial" w:cs="Arial"/>
          <w:sz w:val="20"/>
          <w:szCs w:val="20"/>
        </w:rPr>
      </w:pPr>
      <w:r w:rsidRPr="00D001FA">
        <w:rPr>
          <w:rFonts w:ascii="Arial" w:hAnsi="Arial" w:cs="Arial"/>
          <w:sz w:val="20"/>
          <w:szCs w:val="20"/>
        </w:rPr>
        <w:t>Veiledningen</w:t>
      </w:r>
      <w:r w:rsidR="003F5C5B">
        <w:rPr>
          <w:rFonts w:ascii="Arial" w:hAnsi="Arial" w:cs="Arial"/>
          <w:sz w:val="20"/>
          <w:szCs w:val="20"/>
        </w:rPr>
        <w:t xml:space="preserve"> avgrenses mot:</w:t>
      </w:r>
      <w:r w:rsidRPr="00D001FA">
        <w:rPr>
          <w:rFonts w:ascii="Arial" w:hAnsi="Arial" w:cs="Arial"/>
          <w:sz w:val="20"/>
          <w:szCs w:val="20"/>
        </w:rPr>
        <w:t xml:space="preserve">: </w:t>
      </w:r>
    </w:p>
    <w:p w:rsidR="00711C1A" w:rsidRDefault="00711C1A" w:rsidP="00711C1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fortløpende v</w:t>
      </w:r>
      <w:r w:rsidRPr="00D001FA">
        <w:rPr>
          <w:rFonts w:ascii="Arial" w:hAnsi="Arial" w:cs="Arial"/>
          <w:sz w:val="20"/>
          <w:szCs w:val="20"/>
        </w:rPr>
        <w:t xml:space="preserve">arsling og rapportering i forbindelse med den enkelte ulykke eller hendelse </w:t>
      </w:r>
      <w:r>
        <w:rPr>
          <w:rFonts w:ascii="Arial" w:hAnsi="Arial" w:cs="Arial"/>
          <w:sz w:val="20"/>
          <w:szCs w:val="20"/>
        </w:rPr>
        <w:t>etter</w:t>
      </w:r>
      <w:r w:rsidRPr="00D001F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D001FA">
          <w:rPr>
            <w:rFonts w:ascii="Arial" w:hAnsi="Arial" w:cs="Arial"/>
            <w:sz w:val="20"/>
            <w:szCs w:val="20"/>
          </w:rPr>
          <w:t>forskrift 31. mars 2006 nr. 379 om varslings- og rapporteringsplikt i forbindelse med jernbaneulykker og jernbanehendelser (varslings- og rapporteringsforskriften)</w:t>
        </w:r>
      </w:hyperlink>
      <w:r>
        <w:rPr>
          <w:rFonts w:ascii="Arial" w:hAnsi="Arial" w:cs="Arial"/>
          <w:sz w:val="20"/>
          <w:szCs w:val="20"/>
        </w:rPr>
        <w:t xml:space="preserve"> eller</w:t>
      </w:r>
    </w:p>
    <w:p w:rsidR="00711C1A" w:rsidRPr="00711C1A" w:rsidRDefault="00711C1A" w:rsidP="00711C1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1C1A">
        <w:rPr>
          <w:rFonts w:ascii="Arial" w:hAnsi="Arial" w:cs="Arial"/>
          <w:sz w:val="20"/>
          <w:szCs w:val="20"/>
        </w:rPr>
        <w:t xml:space="preserve">rapportering til andre myndigheter som for eksempel </w:t>
      </w:r>
      <w:hyperlink r:id="rId9" w:history="1">
        <w:r w:rsidRPr="00711C1A">
          <w:rPr>
            <w:rFonts w:ascii="Arial" w:hAnsi="Arial" w:cs="Arial"/>
            <w:sz w:val="20"/>
            <w:szCs w:val="20"/>
          </w:rPr>
          <w:t>Arbeidstilsynet</w:t>
        </w:r>
      </w:hyperlink>
      <w:r w:rsidRPr="00711C1A">
        <w:rPr>
          <w:rFonts w:ascii="Arial" w:hAnsi="Arial" w:cs="Arial"/>
          <w:sz w:val="20"/>
          <w:szCs w:val="20"/>
        </w:rPr>
        <w:t>, Kystverket osv.</w:t>
      </w:r>
      <w:r w:rsidRPr="00106F34">
        <w:t xml:space="preserve"> </w:t>
      </w:r>
    </w:p>
    <w:p w:rsidR="00711C1A" w:rsidRDefault="00711C1A" w:rsidP="00711C1A">
      <w:pPr>
        <w:spacing w:after="0" w:line="240" w:lineRule="auto"/>
      </w:pPr>
    </w:p>
    <w:p w:rsidR="00711C1A" w:rsidRDefault="00711C1A">
      <w:r>
        <w:br w:type="page"/>
      </w:r>
    </w:p>
    <w:p w:rsidR="00711C1A" w:rsidRPr="00711C1A" w:rsidRDefault="00711C1A" w:rsidP="00711C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1C1A">
        <w:rPr>
          <w:rStyle w:val="Overskrift1Tegn"/>
          <w:rFonts w:eastAsiaTheme="minorHAnsi"/>
        </w:rPr>
        <w:lastRenderedPageBreak/>
        <w:t>Rapportering av sikkerhetsindikatorer etter sikkerhetsstyringsforskriftens § 8-1 første ledd</w:t>
      </w:r>
      <w:r w:rsidRPr="00106F34">
        <w:t xml:space="preserve"> </w:t>
      </w:r>
    </w:p>
    <w:p w:rsidR="00711C1A" w:rsidRDefault="00711C1A" w:rsidP="00711C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Jernbanevirksomhetene skal rapportere sikkerhetsindikatorene til tilsynet. De felles sikkerhetsindikatorene fremgår av vedlegg I til sikkerhetsstyringsforskriften. </w:t>
      </w:r>
    </w:p>
    <w:p w:rsidR="00711C1A" w:rsidRPr="00D001FA" w:rsidRDefault="00711C1A" w:rsidP="00711C1A">
      <w:pPr>
        <w:rPr>
          <w:rFonts w:ascii="Arial" w:hAnsi="Arial" w:cs="Arial"/>
          <w:bCs/>
          <w:sz w:val="20"/>
          <w:szCs w:val="20"/>
        </w:rPr>
      </w:pPr>
      <w:r w:rsidRPr="00D001FA">
        <w:rPr>
          <w:rFonts w:ascii="Arial" w:hAnsi="Arial" w:cs="Arial"/>
          <w:bCs/>
          <w:sz w:val="20"/>
          <w:szCs w:val="20"/>
        </w:rPr>
        <w:t xml:space="preserve">Hver </w:t>
      </w:r>
      <w:r>
        <w:rPr>
          <w:rFonts w:ascii="Arial" w:hAnsi="Arial" w:cs="Arial"/>
          <w:bCs/>
          <w:sz w:val="20"/>
          <w:szCs w:val="20"/>
        </w:rPr>
        <w:t>jernbaneulykke</w:t>
      </w:r>
      <w:r w:rsidRPr="00D001FA">
        <w:rPr>
          <w:rFonts w:ascii="Arial" w:hAnsi="Arial" w:cs="Arial"/>
          <w:bCs/>
          <w:sz w:val="20"/>
          <w:szCs w:val="20"/>
        </w:rPr>
        <w:t xml:space="preserve"> skal rapporteres </w:t>
      </w:r>
      <w:r>
        <w:rPr>
          <w:rFonts w:ascii="Arial" w:hAnsi="Arial" w:cs="Arial"/>
          <w:bCs/>
          <w:sz w:val="20"/>
          <w:szCs w:val="20"/>
        </w:rPr>
        <w:t xml:space="preserve">under den primære </w:t>
      </w:r>
      <w:r w:rsidRPr="00D001FA">
        <w:rPr>
          <w:rFonts w:ascii="Arial" w:hAnsi="Arial" w:cs="Arial"/>
          <w:bCs/>
          <w:sz w:val="20"/>
          <w:szCs w:val="20"/>
        </w:rPr>
        <w:t>ulykke</w:t>
      </w:r>
      <w:r>
        <w:rPr>
          <w:rFonts w:ascii="Arial" w:hAnsi="Arial" w:cs="Arial"/>
          <w:bCs/>
          <w:sz w:val="20"/>
          <w:szCs w:val="20"/>
        </w:rPr>
        <w:t>stypen</w:t>
      </w:r>
      <w:r w:rsidRPr="00D001FA">
        <w:rPr>
          <w:rFonts w:ascii="Arial" w:hAnsi="Arial" w:cs="Arial"/>
          <w:bCs/>
          <w:sz w:val="20"/>
          <w:szCs w:val="20"/>
        </w:rPr>
        <w:t xml:space="preserve">, selv om følgeulykken er mer alvorlig. </w:t>
      </w:r>
      <w:r>
        <w:rPr>
          <w:rFonts w:ascii="Arial" w:hAnsi="Arial" w:cs="Arial"/>
          <w:bCs/>
          <w:sz w:val="20"/>
          <w:szCs w:val="20"/>
        </w:rPr>
        <w:t>F.eks</w:t>
      </w:r>
      <w:r w:rsidR="00CC197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dersom et tog sporer av etter et sammenstøt med ras, skal hendelsen klassifiseres som sammenstøt og ikke avsporing.</w:t>
      </w:r>
    </w:p>
    <w:p w:rsidR="00711C1A" w:rsidRPr="00D001FA" w:rsidRDefault="00942301" w:rsidP="00711C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Jernbaneulykkene sk</w:t>
      </w:r>
      <w:r w:rsidR="00C76F31">
        <w:rPr>
          <w:rFonts w:ascii="Arial" w:hAnsi="Arial" w:cs="Arial"/>
          <w:sz w:val="20"/>
          <w:szCs w:val="20"/>
        </w:rPr>
        <w:t>al rapporteres på side 3 -</w:t>
      </w:r>
      <w:r>
        <w:rPr>
          <w:rFonts w:ascii="Arial" w:hAnsi="Arial" w:cs="Arial"/>
          <w:sz w:val="20"/>
          <w:szCs w:val="20"/>
        </w:rPr>
        <w:t xml:space="preserve"> </w:t>
      </w:r>
      <w:r w:rsidR="00C76F3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og beskrives.</w:t>
      </w:r>
      <w:r w:rsidR="00711C1A" w:rsidRPr="00D001FA">
        <w:rPr>
          <w:rFonts w:ascii="Arial" w:hAnsi="Arial" w:cs="Arial"/>
          <w:sz w:val="20"/>
          <w:szCs w:val="20"/>
        </w:rPr>
        <w:t xml:space="preserve"> </w:t>
      </w:r>
      <w:r w:rsidR="00711C1A">
        <w:rPr>
          <w:rFonts w:ascii="Arial" w:hAnsi="Arial" w:cs="Arial"/>
          <w:sz w:val="20"/>
          <w:szCs w:val="20"/>
        </w:rPr>
        <w:t>Bakgrunnen for d</w:t>
      </w:r>
      <w:r w:rsidR="00711C1A" w:rsidRPr="00D001FA">
        <w:rPr>
          <w:rFonts w:ascii="Arial" w:hAnsi="Arial" w:cs="Arial"/>
          <w:sz w:val="20"/>
          <w:szCs w:val="20"/>
        </w:rPr>
        <w:t xml:space="preserve">ette er </w:t>
      </w:r>
      <w:r w:rsidR="00711C1A">
        <w:rPr>
          <w:rFonts w:ascii="Arial" w:hAnsi="Arial" w:cs="Arial"/>
          <w:sz w:val="20"/>
          <w:szCs w:val="20"/>
        </w:rPr>
        <w:t xml:space="preserve">at tilsynet skal </w:t>
      </w:r>
      <w:r w:rsidR="00711C1A" w:rsidRPr="00D001FA">
        <w:rPr>
          <w:rFonts w:ascii="Arial" w:hAnsi="Arial" w:cs="Arial"/>
          <w:sz w:val="20"/>
          <w:szCs w:val="20"/>
        </w:rPr>
        <w:t xml:space="preserve">få bedre kontroll på de </w:t>
      </w:r>
      <w:r w:rsidR="00711C1A">
        <w:rPr>
          <w:rFonts w:ascii="Arial" w:hAnsi="Arial" w:cs="Arial"/>
          <w:sz w:val="20"/>
          <w:szCs w:val="20"/>
        </w:rPr>
        <w:t xml:space="preserve">ulykkene og hendelsene </w:t>
      </w:r>
      <w:r w:rsidR="00711C1A" w:rsidRPr="00D001FA">
        <w:rPr>
          <w:rFonts w:ascii="Arial" w:hAnsi="Arial" w:cs="Arial"/>
          <w:sz w:val="20"/>
          <w:szCs w:val="20"/>
        </w:rPr>
        <w:t xml:space="preserve">som er rapportert, og for å lettere kunne kontrollere om antall saker i </w:t>
      </w:r>
      <w:r>
        <w:rPr>
          <w:rFonts w:ascii="Arial" w:hAnsi="Arial" w:cs="Arial"/>
          <w:sz w:val="20"/>
          <w:szCs w:val="20"/>
        </w:rPr>
        <w:t>skjemaet</w:t>
      </w:r>
      <w:r w:rsidR="00711C1A" w:rsidRPr="00D001FA">
        <w:rPr>
          <w:rFonts w:ascii="Arial" w:hAnsi="Arial" w:cs="Arial"/>
          <w:sz w:val="20"/>
          <w:szCs w:val="20"/>
        </w:rPr>
        <w:t xml:space="preserve"> stemmer med beskrivelsene.</w:t>
      </w:r>
    </w:p>
    <w:p w:rsidR="00711C1A" w:rsidRDefault="00711C1A" w:rsidP="00711C1A">
      <w:pPr>
        <w:rPr>
          <w:rFonts w:ascii="Arial" w:hAnsi="Arial" w:cs="Arial"/>
          <w:sz w:val="20"/>
          <w:szCs w:val="20"/>
        </w:rPr>
      </w:pPr>
      <w:r w:rsidRPr="00D001FA">
        <w:rPr>
          <w:rFonts w:ascii="Arial" w:hAnsi="Arial" w:cs="Arial"/>
          <w:sz w:val="20"/>
          <w:szCs w:val="20"/>
        </w:rPr>
        <w:t>Alle kostnader relatert til uøns</w:t>
      </w:r>
      <w:r w:rsidR="00942301">
        <w:rPr>
          <w:rFonts w:ascii="Arial" w:hAnsi="Arial" w:cs="Arial"/>
          <w:sz w:val="20"/>
          <w:szCs w:val="20"/>
        </w:rPr>
        <w:t>kede hendelser skal rapporteres.</w:t>
      </w:r>
      <w:r w:rsidRPr="00D001FA">
        <w:rPr>
          <w:rFonts w:ascii="Arial" w:hAnsi="Arial" w:cs="Arial"/>
          <w:sz w:val="20"/>
          <w:szCs w:val="20"/>
        </w:rPr>
        <w:t xml:space="preserve"> Dette betyr at </w:t>
      </w:r>
      <w:r w:rsidRPr="00D001FA">
        <w:rPr>
          <w:rFonts w:ascii="Arial" w:hAnsi="Arial" w:cs="Arial"/>
          <w:sz w:val="20"/>
          <w:szCs w:val="20"/>
          <w:u w:val="single"/>
        </w:rPr>
        <w:t>også kostnaden til hendelser som ikke er jernbaneulykker skal tas med.</w:t>
      </w:r>
      <w:r w:rsidRPr="00D001FA">
        <w:rPr>
          <w:rFonts w:ascii="Arial" w:hAnsi="Arial" w:cs="Arial"/>
          <w:sz w:val="20"/>
          <w:szCs w:val="20"/>
        </w:rPr>
        <w:t xml:space="preserve"> </w:t>
      </w:r>
      <w:r w:rsidR="003F5C5B">
        <w:rPr>
          <w:rFonts w:ascii="Arial" w:hAnsi="Arial" w:cs="Arial"/>
          <w:sz w:val="20"/>
          <w:szCs w:val="20"/>
        </w:rPr>
        <w:t>For i</w:t>
      </w:r>
      <w:r w:rsidR="00671725">
        <w:rPr>
          <w:rFonts w:ascii="Arial" w:hAnsi="Arial" w:cs="Arial"/>
          <w:sz w:val="20"/>
          <w:szCs w:val="20"/>
        </w:rPr>
        <w:t>ndikatorer knyttet til kost</w:t>
      </w:r>
      <w:r w:rsidR="00942301">
        <w:rPr>
          <w:rFonts w:ascii="Arial" w:hAnsi="Arial" w:cs="Arial"/>
          <w:sz w:val="20"/>
          <w:szCs w:val="20"/>
        </w:rPr>
        <w:t>n</w:t>
      </w:r>
      <w:r w:rsidR="00671725">
        <w:rPr>
          <w:rFonts w:ascii="Arial" w:hAnsi="Arial" w:cs="Arial"/>
          <w:sz w:val="20"/>
          <w:szCs w:val="20"/>
        </w:rPr>
        <w:t>a</w:t>
      </w:r>
      <w:r w:rsidR="00942301">
        <w:rPr>
          <w:rFonts w:ascii="Arial" w:hAnsi="Arial" w:cs="Arial"/>
          <w:sz w:val="20"/>
          <w:szCs w:val="20"/>
        </w:rPr>
        <w:t xml:space="preserve">der </w:t>
      </w:r>
      <w:r w:rsidRPr="00D001FA">
        <w:rPr>
          <w:rFonts w:ascii="Arial" w:hAnsi="Arial" w:cs="Arial"/>
          <w:sz w:val="20"/>
          <w:szCs w:val="20"/>
        </w:rPr>
        <w:t xml:space="preserve">er </w:t>
      </w:r>
      <w:r w:rsidR="003F5C5B">
        <w:rPr>
          <w:rFonts w:ascii="Arial" w:hAnsi="Arial" w:cs="Arial"/>
          <w:sz w:val="20"/>
          <w:szCs w:val="20"/>
        </w:rPr>
        <w:t xml:space="preserve">det </w:t>
      </w:r>
      <w:r w:rsidRPr="00D001FA">
        <w:rPr>
          <w:rFonts w:ascii="Arial" w:hAnsi="Arial" w:cs="Arial"/>
          <w:sz w:val="20"/>
          <w:szCs w:val="20"/>
        </w:rPr>
        <w:t xml:space="preserve">ikke nødvendig å beskrive hver hendelse. </w:t>
      </w:r>
      <w:r>
        <w:rPr>
          <w:rFonts w:ascii="Arial" w:hAnsi="Arial" w:cs="Arial"/>
          <w:sz w:val="20"/>
          <w:szCs w:val="20"/>
        </w:rPr>
        <w:t>Hvordan kostnadene skal beregnes fremgår av sikkerhetsstyringsforskriften vedlegg I, tilleggets punkt 5.</w:t>
      </w:r>
      <w:r w:rsidRPr="00FF0BEB">
        <w:rPr>
          <w:rFonts w:ascii="Arial" w:hAnsi="Arial" w:cs="Arial"/>
          <w:sz w:val="20"/>
          <w:szCs w:val="20"/>
        </w:rPr>
        <w:t xml:space="preserve"> </w:t>
      </w:r>
    </w:p>
    <w:p w:rsidR="00711C1A" w:rsidRPr="00D001FA" w:rsidRDefault="0040636A" w:rsidP="00711C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Kjøretøy i denne sammenheng kan også forstås som rullende materiell (tog og skift).</w:t>
      </w:r>
    </w:p>
    <w:p w:rsidR="00711C1A" w:rsidRPr="00C77876" w:rsidRDefault="00711C1A" w:rsidP="00711C1A">
      <w:pPr>
        <w:pStyle w:val="Overskrift2"/>
      </w:pPr>
      <w:r w:rsidRPr="00C77876">
        <w:t>Nærmere om beskrivelse av jernbaneulykkene i fritekst</w:t>
      </w:r>
    </w:p>
    <w:p w:rsidR="00711C1A" w:rsidRPr="0040693E" w:rsidRDefault="00711C1A" w:rsidP="00711C1A">
      <w:pPr>
        <w:rPr>
          <w:rFonts w:ascii="Arial" w:hAnsi="Arial" w:cs="Arial"/>
          <w:sz w:val="20"/>
          <w:szCs w:val="20"/>
        </w:rPr>
      </w:pPr>
      <w:r w:rsidRPr="0040693E">
        <w:rPr>
          <w:rFonts w:ascii="Arial" w:hAnsi="Arial" w:cs="Arial"/>
          <w:sz w:val="20"/>
          <w:szCs w:val="20"/>
        </w:rPr>
        <w:t xml:space="preserve">Beskrivelse </w:t>
      </w:r>
      <w:r>
        <w:rPr>
          <w:rFonts w:ascii="Arial" w:hAnsi="Arial" w:cs="Arial"/>
          <w:sz w:val="20"/>
          <w:szCs w:val="20"/>
        </w:rPr>
        <w:t>i fritekst av jernbaneulykkene som</w:t>
      </w:r>
      <w:r w:rsidRPr="0040693E">
        <w:rPr>
          <w:rFonts w:ascii="Arial" w:hAnsi="Arial" w:cs="Arial"/>
          <w:sz w:val="20"/>
          <w:szCs w:val="20"/>
        </w:rPr>
        <w:t xml:space="preserve"> rapporter</w:t>
      </w:r>
      <w:r>
        <w:rPr>
          <w:rFonts w:ascii="Arial" w:hAnsi="Arial" w:cs="Arial"/>
          <w:sz w:val="20"/>
          <w:szCs w:val="20"/>
        </w:rPr>
        <w:t>es</w:t>
      </w:r>
      <w:r w:rsidRPr="0040693E">
        <w:rPr>
          <w:rFonts w:ascii="Arial" w:hAnsi="Arial" w:cs="Arial"/>
          <w:sz w:val="20"/>
          <w:szCs w:val="20"/>
        </w:rPr>
        <w:t xml:space="preserve"> i </w:t>
      </w:r>
      <w:r w:rsidR="00666B9F">
        <w:rPr>
          <w:rFonts w:ascii="Arial" w:hAnsi="Arial" w:cs="Arial"/>
          <w:sz w:val="20"/>
          <w:szCs w:val="20"/>
        </w:rPr>
        <w:t>skjemaet</w:t>
      </w:r>
      <w:r>
        <w:rPr>
          <w:rFonts w:ascii="Arial" w:hAnsi="Arial" w:cs="Arial"/>
          <w:sz w:val="20"/>
          <w:szCs w:val="20"/>
        </w:rPr>
        <w:t>s</w:t>
      </w:r>
      <w:r w:rsidRPr="0040693E">
        <w:rPr>
          <w:rFonts w:ascii="Arial" w:hAnsi="Arial" w:cs="Arial"/>
          <w:sz w:val="20"/>
          <w:szCs w:val="20"/>
        </w:rPr>
        <w:t xml:space="preserve"> </w:t>
      </w:r>
      <w:r w:rsidR="00666B9F">
        <w:rPr>
          <w:rFonts w:ascii="Arial" w:hAnsi="Arial" w:cs="Arial"/>
          <w:sz w:val="20"/>
          <w:szCs w:val="20"/>
        </w:rPr>
        <w:t>avsnitt om indikatorer knyttet til ulykker</w:t>
      </w:r>
      <w:r w:rsidRPr="0040693E">
        <w:rPr>
          <w:rFonts w:ascii="Arial" w:hAnsi="Arial" w:cs="Arial"/>
          <w:sz w:val="20"/>
          <w:szCs w:val="20"/>
        </w:rPr>
        <w:t xml:space="preserve"> må minimum inn</w:t>
      </w:r>
      <w:r>
        <w:rPr>
          <w:rFonts w:ascii="Arial" w:hAnsi="Arial" w:cs="Arial"/>
          <w:sz w:val="20"/>
          <w:szCs w:val="20"/>
        </w:rPr>
        <w:t>e</w:t>
      </w:r>
      <w:r w:rsidRPr="0040693E">
        <w:rPr>
          <w:rFonts w:ascii="Arial" w:hAnsi="Arial" w:cs="Arial"/>
          <w:sz w:val="20"/>
          <w:szCs w:val="20"/>
        </w:rPr>
        <w:t>holde følgende opplysninger:</w:t>
      </w:r>
    </w:p>
    <w:p w:rsidR="00711C1A" w:rsidRPr="0040693E" w:rsidRDefault="00711C1A" w:rsidP="00711C1A">
      <w:pPr>
        <w:numPr>
          <w:ilvl w:val="0"/>
          <w:numId w:val="2"/>
        </w:numPr>
        <w:spacing w:after="0" w:line="280" w:lineRule="atLeast"/>
        <w:rPr>
          <w:rFonts w:ascii="Arial" w:hAnsi="Arial" w:cs="Arial"/>
          <w:sz w:val="20"/>
          <w:szCs w:val="20"/>
        </w:rPr>
      </w:pPr>
      <w:r w:rsidRPr="0040693E">
        <w:rPr>
          <w:rFonts w:ascii="Arial" w:hAnsi="Arial" w:cs="Arial"/>
          <w:sz w:val="20"/>
          <w:szCs w:val="20"/>
        </w:rPr>
        <w:t>Dato for når hendelsen skjedde</w:t>
      </w:r>
      <w:r>
        <w:rPr>
          <w:rFonts w:ascii="Arial" w:hAnsi="Arial" w:cs="Arial"/>
          <w:sz w:val="20"/>
          <w:szCs w:val="20"/>
        </w:rPr>
        <w:t>.</w:t>
      </w:r>
    </w:p>
    <w:p w:rsidR="00711C1A" w:rsidRPr="0040693E" w:rsidRDefault="00711C1A" w:rsidP="00711C1A">
      <w:pPr>
        <w:numPr>
          <w:ilvl w:val="0"/>
          <w:numId w:val="2"/>
        </w:numPr>
        <w:spacing w:after="0" w:line="280" w:lineRule="atLeast"/>
        <w:rPr>
          <w:rFonts w:ascii="Arial" w:hAnsi="Arial" w:cs="Arial"/>
          <w:sz w:val="20"/>
          <w:szCs w:val="20"/>
        </w:rPr>
      </w:pPr>
      <w:r w:rsidRPr="0040693E">
        <w:rPr>
          <w:rFonts w:ascii="Arial" w:hAnsi="Arial" w:cs="Arial"/>
          <w:sz w:val="20"/>
          <w:szCs w:val="20"/>
        </w:rPr>
        <w:t>Sted hvor hendelsen skjedde</w:t>
      </w:r>
      <w:r>
        <w:rPr>
          <w:rFonts w:ascii="Arial" w:hAnsi="Arial" w:cs="Arial"/>
          <w:sz w:val="20"/>
          <w:szCs w:val="20"/>
        </w:rPr>
        <w:t>.</w:t>
      </w:r>
    </w:p>
    <w:p w:rsidR="00711C1A" w:rsidRPr="0040693E" w:rsidRDefault="00711C1A" w:rsidP="00711C1A">
      <w:pPr>
        <w:numPr>
          <w:ilvl w:val="0"/>
          <w:numId w:val="2"/>
        </w:numPr>
        <w:spacing w:after="0" w:line="280" w:lineRule="atLeast"/>
        <w:rPr>
          <w:rFonts w:ascii="Arial" w:hAnsi="Arial" w:cs="Arial"/>
          <w:sz w:val="20"/>
          <w:szCs w:val="20"/>
        </w:rPr>
      </w:pPr>
      <w:r w:rsidRPr="0040693E">
        <w:rPr>
          <w:rFonts w:ascii="Arial" w:hAnsi="Arial" w:cs="Arial"/>
          <w:sz w:val="20"/>
          <w:szCs w:val="20"/>
        </w:rPr>
        <w:t>Beskrivelse av hendelsen</w:t>
      </w:r>
      <w:r>
        <w:rPr>
          <w:rFonts w:ascii="Arial" w:hAnsi="Arial" w:cs="Arial"/>
          <w:sz w:val="20"/>
          <w:szCs w:val="20"/>
        </w:rPr>
        <w:t>.</w:t>
      </w:r>
    </w:p>
    <w:p w:rsidR="00711C1A" w:rsidRPr="0040693E" w:rsidRDefault="00711C1A" w:rsidP="00711C1A">
      <w:pPr>
        <w:numPr>
          <w:ilvl w:val="0"/>
          <w:numId w:val="2"/>
        </w:numPr>
        <w:spacing w:after="0" w:line="280" w:lineRule="atLeast"/>
        <w:rPr>
          <w:rFonts w:ascii="Arial" w:hAnsi="Arial" w:cs="Arial"/>
          <w:sz w:val="20"/>
          <w:szCs w:val="20"/>
        </w:rPr>
      </w:pPr>
      <w:r w:rsidRPr="0040693E">
        <w:rPr>
          <w:rFonts w:ascii="Arial" w:hAnsi="Arial" w:cs="Arial"/>
          <w:sz w:val="20"/>
          <w:szCs w:val="20"/>
        </w:rPr>
        <w:t>Togframføring eller skifting</w:t>
      </w:r>
      <w:r>
        <w:rPr>
          <w:rFonts w:ascii="Arial" w:hAnsi="Arial" w:cs="Arial"/>
          <w:sz w:val="20"/>
          <w:szCs w:val="20"/>
        </w:rPr>
        <w:t>.</w:t>
      </w:r>
    </w:p>
    <w:p w:rsidR="00711C1A" w:rsidRPr="0040693E" w:rsidRDefault="00711C1A" w:rsidP="00711C1A">
      <w:pPr>
        <w:numPr>
          <w:ilvl w:val="0"/>
          <w:numId w:val="2"/>
        </w:numPr>
        <w:spacing w:after="0" w:line="280" w:lineRule="atLeast"/>
        <w:rPr>
          <w:rFonts w:ascii="Arial" w:hAnsi="Arial" w:cs="Arial"/>
          <w:sz w:val="20"/>
          <w:szCs w:val="20"/>
        </w:rPr>
      </w:pPr>
      <w:r w:rsidRPr="0040693E">
        <w:rPr>
          <w:rFonts w:ascii="Arial" w:hAnsi="Arial" w:cs="Arial"/>
          <w:sz w:val="20"/>
          <w:szCs w:val="20"/>
        </w:rPr>
        <w:t>Ved personskade må følgende inkluderes:</w:t>
      </w:r>
    </w:p>
    <w:p w:rsidR="00711C1A" w:rsidRDefault="00711C1A" w:rsidP="00711C1A">
      <w:pPr>
        <w:numPr>
          <w:ilvl w:val="1"/>
          <w:numId w:val="2"/>
        </w:num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0693E">
        <w:rPr>
          <w:rFonts w:ascii="Arial" w:hAnsi="Arial" w:cs="Arial"/>
          <w:sz w:val="20"/>
          <w:szCs w:val="20"/>
        </w:rPr>
        <w:t>ntall skadde</w:t>
      </w:r>
    </w:p>
    <w:p w:rsidR="00711C1A" w:rsidRPr="0040693E" w:rsidRDefault="00711C1A" w:rsidP="00711C1A">
      <w:pPr>
        <w:numPr>
          <w:ilvl w:val="1"/>
          <w:numId w:val="2"/>
        </w:num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antall døde</w:t>
      </w:r>
    </w:p>
    <w:p w:rsidR="00711C1A" w:rsidRPr="0040693E" w:rsidRDefault="00711C1A" w:rsidP="00711C1A">
      <w:pPr>
        <w:numPr>
          <w:ilvl w:val="1"/>
          <w:numId w:val="2"/>
        </w:num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40693E">
        <w:rPr>
          <w:rFonts w:ascii="Arial" w:hAnsi="Arial" w:cs="Arial"/>
          <w:sz w:val="20"/>
          <w:szCs w:val="20"/>
        </w:rPr>
        <w:t>vor alvorlig hver skadd person ble</w:t>
      </w:r>
    </w:p>
    <w:p w:rsidR="00711C1A" w:rsidRPr="0040693E" w:rsidRDefault="00711C1A" w:rsidP="00711C1A">
      <w:pPr>
        <w:numPr>
          <w:ilvl w:val="1"/>
          <w:numId w:val="2"/>
        </w:num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40693E">
        <w:rPr>
          <w:rFonts w:ascii="Arial" w:hAnsi="Arial" w:cs="Arial"/>
          <w:sz w:val="20"/>
          <w:szCs w:val="20"/>
        </w:rPr>
        <w:t xml:space="preserve">vilken kategori personen tilhører: passasjer, </w:t>
      </w:r>
      <w:r>
        <w:rPr>
          <w:rFonts w:ascii="Arial" w:hAnsi="Arial" w:cs="Arial"/>
          <w:sz w:val="20"/>
          <w:szCs w:val="20"/>
        </w:rPr>
        <w:t>personell, brukere av planovergang, uvedkommende</w:t>
      </w:r>
      <w:r w:rsidRPr="0040693E">
        <w:rPr>
          <w:rFonts w:ascii="Arial" w:hAnsi="Arial" w:cs="Arial"/>
          <w:sz w:val="20"/>
          <w:szCs w:val="20"/>
        </w:rPr>
        <w:t xml:space="preserve"> eller andre</w:t>
      </w:r>
    </w:p>
    <w:p w:rsidR="00711C1A" w:rsidRPr="0040693E" w:rsidRDefault="00711C1A" w:rsidP="00711C1A">
      <w:pPr>
        <w:numPr>
          <w:ilvl w:val="0"/>
          <w:numId w:val="2"/>
        </w:numPr>
        <w:spacing w:after="0" w:line="280" w:lineRule="atLeast"/>
        <w:rPr>
          <w:rFonts w:ascii="Arial" w:hAnsi="Arial" w:cs="Arial"/>
          <w:sz w:val="20"/>
          <w:szCs w:val="20"/>
        </w:rPr>
      </w:pPr>
      <w:r w:rsidRPr="0040693E">
        <w:rPr>
          <w:rFonts w:ascii="Arial" w:hAnsi="Arial" w:cs="Arial"/>
          <w:sz w:val="20"/>
          <w:szCs w:val="20"/>
        </w:rPr>
        <w:t>Ved forsinkelser skal kostnaden estimeres dersom den ikke vites</w:t>
      </w:r>
      <w:r>
        <w:rPr>
          <w:rFonts w:ascii="Arial" w:hAnsi="Arial" w:cs="Arial"/>
          <w:sz w:val="20"/>
          <w:szCs w:val="20"/>
        </w:rPr>
        <w:t>.</w:t>
      </w:r>
    </w:p>
    <w:p w:rsidR="00711C1A" w:rsidRDefault="00711C1A" w:rsidP="00711C1A">
      <w:pPr>
        <w:numPr>
          <w:ilvl w:val="0"/>
          <w:numId w:val="2"/>
        </w:numPr>
        <w:spacing w:after="0" w:line="280" w:lineRule="atLeast"/>
        <w:rPr>
          <w:rFonts w:ascii="Arial" w:hAnsi="Arial" w:cs="Arial"/>
          <w:sz w:val="20"/>
          <w:szCs w:val="20"/>
        </w:rPr>
      </w:pPr>
      <w:r w:rsidRPr="0040693E">
        <w:rPr>
          <w:rFonts w:ascii="Arial" w:hAnsi="Arial" w:cs="Arial"/>
          <w:sz w:val="20"/>
          <w:szCs w:val="20"/>
        </w:rPr>
        <w:t>Ved materielle skader skal kostnaden estimeres dersom de ikke er kjent</w:t>
      </w:r>
      <w:r>
        <w:rPr>
          <w:rFonts w:ascii="Arial" w:hAnsi="Arial" w:cs="Arial"/>
          <w:sz w:val="20"/>
          <w:szCs w:val="20"/>
        </w:rPr>
        <w:t>.</w:t>
      </w:r>
    </w:p>
    <w:p w:rsidR="00711C1A" w:rsidRDefault="00711C1A">
      <w:r>
        <w:br w:type="page"/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1340"/>
      </w:tblGrid>
      <w:tr w:rsidR="004E1DC0" w:rsidRPr="004E1DC0" w:rsidTr="004E1DC0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lastRenderedPageBreak/>
              <w:t>Indikatorer knyttet til ulykker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Jernbaneulykker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Personulykker forårsaket av kjøretøy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962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Passasjerer som blir alvorlig skadd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06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Personulykker forårsaket av kjøretøy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E1DC0" w:rsidRPr="004E1DC0" w:rsidTr="004E1DC0">
        <w:trPr>
          <w:trHeight w:val="51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C0" w:rsidRPr="004E1DC0" w:rsidRDefault="004E1DC0" w:rsidP="00962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Personell, herunder underleverandørens personell som blir alvorlig skadd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Personulykker forårsaket av kjøretøy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962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Brukere av planovergang som blir alvorlig skadd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Personulykker forårsaket av kjøretøy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E1DC0" w:rsidRPr="004E1DC0" w:rsidTr="004E1DC0">
        <w:trPr>
          <w:trHeight w:val="51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C0" w:rsidRPr="004E1DC0" w:rsidRDefault="00962DE1" w:rsidP="00962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Uvedkommen</w:t>
            </w:r>
            <w:r w:rsidR="004E1DC0"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de som befinner seg ulovlig på jernbaneanlegg som blir alvorlig skadd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Personulykker forårsaket av kjøretøy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4E1DC0" w:rsidRDefault="004E1DC0">
      <w:r>
        <w:br w:type="page"/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1340"/>
      </w:tblGrid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Andre personer som blir alvorlig skadd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Personulykker forårsaket av kjøretøy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Passasjerer som er omkommet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Personulykker forårsaket av kjøretøy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Personell, herunder underleverandørens personell som er omkommet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Personulykker forårsaket av kjøretøy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Brukere av planovergang som er omkommet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Personulykker forårsaket av kjøretøy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E1DC0" w:rsidRPr="004E1DC0" w:rsidTr="004E1DC0">
        <w:trPr>
          <w:trHeight w:val="51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C0" w:rsidRPr="004E1DC0" w:rsidRDefault="004E1DC0" w:rsidP="00962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Uvedkommende som befinner seg ulovlig på jernbaneanlegg som er omkommet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Personulykker forårsaket av kjøretøy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4E1DC0" w:rsidRDefault="004E1DC0">
      <w:r>
        <w:br w:type="page"/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1340"/>
      </w:tblGrid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Andre personer som er omkommet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ammenstøt, herunder sammenstøt med objekter innenfor den frie profilen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vsporinger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Ulykker ved planoverganger, herunder ulykker der fotgjengere er innblandet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Personulykker forårsaket av kjøretøy i bevegelse, unntatt 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Brann i kjøretøy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ulykker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E1DC0" w:rsidRPr="004E1DC0" w:rsidTr="004E1DC0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Indikatorer knyttet til trafikk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Passasjerkilometer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F21" w:rsidRPr="004E1DC0" w:rsidRDefault="00D66F21" w:rsidP="00D66F21">
            <w:pPr>
              <w:spacing w:after="0" w:line="240" w:lineRule="auto"/>
              <w:ind w:left="9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av disse internasjonalt * </w:t>
            </w:r>
            <w:r w:rsidRPr="00D66F2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b-NO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0636A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Passasjer</w:t>
            </w:r>
            <w:r w:rsidR="004E1DC0"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togkilometer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F21" w:rsidRPr="004E1DC0" w:rsidRDefault="00D66F21" w:rsidP="002656AF">
            <w:pPr>
              <w:spacing w:after="0" w:line="240" w:lineRule="auto"/>
              <w:ind w:left="9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av disse internasjonalt * </w:t>
            </w:r>
            <w:r w:rsidRPr="00D66F2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b-NO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Godstogkilometer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F21" w:rsidRPr="004E1DC0" w:rsidRDefault="00D66F21" w:rsidP="002656AF">
            <w:pPr>
              <w:spacing w:after="0" w:line="240" w:lineRule="auto"/>
              <w:ind w:left="9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av disse internasjonalt * </w:t>
            </w:r>
            <w:r w:rsidRPr="00D66F2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b-NO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D66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Godstonnkilometer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(lastvekt)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F21" w:rsidRPr="004E1DC0" w:rsidRDefault="00D66F21" w:rsidP="00D66F21">
            <w:pPr>
              <w:spacing w:after="0" w:line="240" w:lineRule="auto"/>
              <w:ind w:left="9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av disse internasjonalt * </w:t>
            </w:r>
            <w:r w:rsidRPr="00D66F2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b-NO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togkilometer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(arbeidsmaskiner e.l.)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D66F21" w:rsidRPr="004E1DC0" w:rsidTr="004E1DC0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Indikatorer knyttet til farlig gods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ulykker hvor det er farlig gods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toget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Alle ulykker som omfatter utslipp, under transport, av farlig gods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D66F21" w:rsidRPr="004E1DC0" w:rsidTr="004E1DC0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Indikatorer knyttet til tilløp av ulykker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PASS-hendelser i forbindelse med togframføring (ikke signalfall)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PASS-hendelser i forbindelse med skifting (ikke signalfall)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Hjulbrudd for kjøretøy i drift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Akselbrudd for kjøretøy i drift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D66F21" w:rsidRPr="004E1DC0" w:rsidTr="004E1DC0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Indikatorer knyttet til sikkerhetsledelse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Gjennomførte interne revisjoner som omhandler sikkerhet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Planlagte interne revisjoner som omhandler sikkerhet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D66F21" w:rsidRPr="004E1DC0" w:rsidTr="004E1DC0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Indikatorer knyttet til kostnader (oppgis i norske kroner)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6F21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Verdi </w:t>
            </w:r>
          </w:p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(i NOK)</w:t>
            </w: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Kostnader ved miljøskader (jernbaneulykker)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Kostnader ved miljøskader (alle ulykker unntatt jernbaneulykker)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66F21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Kostnader ved materielle skader på kjøretøy eller infrastruktur (jernbaneulykker)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66F21" w:rsidRPr="004E1DC0" w:rsidTr="004E1DC0">
        <w:trPr>
          <w:trHeight w:val="51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Kostnader ved materielle skader på kjøretøy eller infrastruktur (alle ulykker unntatt jernbaneulykker)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21" w:rsidRPr="004E1DC0" w:rsidRDefault="00D66F21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66F21" w:rsidRDefault="00D66F21">
      <w:r>
        <w:t>* Ikke obligatorisk for rapporteringsåret 2014</w:t>
      </w:r>
      <w:r>
        <w:br/>
      </w:r>
      <w:r w:rsidRPr="00D66F2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nb-NO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nb-NO"/>
        </w:rPr>
        <w:t xml:space="preserve"> </w:t>
      </w:r>
      <w:r>
        <w:t>Andel av grensekryssende transport som kjøres i Norge</w:t>
      </w:r>
    </w:p>
    <w:p w:rsidR="004E1DC0" w:rsidRDefault="004E1DC0">
      <w:r>
        <w:br w:type="page"/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1340"/>
      </w:tblGrid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4E1DC0" w:rsidRPr="004E1DC0" w:rsidTr="004E1DC0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Følgende skal </w:t>
            </w: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kun</w:t>
            </w: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rapporteres av infrastrukturforvalter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Antall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Selvmord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Skinnebrudd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Solslyng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Signal som feiler til mindre restriktiv tilstand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51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Prosentvis andel av spor med automatisk hastighetsovervåkning (ATC) som er i operasjon (oppgis i 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51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Prosentvis andel av togkilometer med automatisk hastighetsovervåkning (ATC) som er i operasjon (oppgis i 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Planoverganger som er passive (grinder, usikret osv)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Planoverganger som er manuelle (håndstilte)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52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Planoverganger med automatisk varsling mot veifarende og at varslingen gis til toget (hel-/halvautomatiske veisikringsanlegg uten bom)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51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Planoverganger med automatisk varsling mot veifarende og at varslingen 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b-NO"/>
              </w:rPr>
              <w:t>ikke</w:t>
            </w: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gis til toget (varsellamper)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51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Planoverganger med automatisk sikring, herunder varsling og sikring mot veifarende (hel- og halvbommer)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E1DC0" w:rsidRPr="004E1DC0" w:rsidTr="004E1DC0">
        <w:trPr>
          <w:trHeight w:val="51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Planoverganger med automatisk sikring og varsling mot veifarende og sikring mot skinnegangen samt fri for objekter på planoverganger)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C0" w:rsidRPr="004E1DC0" w:rsidRDefault="004E1DC0" w:rsidP="004E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753D82" w:rsidRDefault="00753D82"/>
    <w:sectPr w:rsidR="00753D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F2" w:rsidRDefault="00B32FF2" w:rsidP="00711C1A">
      <w:pPr>
        <w:spacing w:after="0" w:line="240" w:lineRule="auto"/>
      </w:pPr>
      <w:r>
        <w:separator/>
      </w:r>
    </w:p>
  </w:endnote>
  <w:endnote w:type="continuationSeparator" w:id="0">
    <w:p w:rsidR="00B32FF2" w:rsidRDefault="00B32FF2" w:rsidP="0071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5B" w:rsidRDefault="003F5C5B">
    <w:pPr>
      <w:pStyle w:val="Bunntekst"/>
      <w:rPr>
        <w:rFonts w:ascii="Arial" w:hAnsi="Arial" w:cs="Arial"/>
        <w:sz w:val="16"/>
      </w:rPr>
    </w:pPr>
    <w:r w:rsidRPr="00711C1A">
      <w:rPr>
        <w:rFonts w:ascii="Arial" w:hAnsi="Arial" w:cs="Arial"/>
        <w:sz w:val="16"/>
      </w:rPr>
      <w:t>Statens jernbanetilsyn – Veiledning om årlig rapportering av sikkerhetsindikatorer, sikkerhetsstyringsforskriften § 8-1 (1)</w:t>
    </w:r>
    <w:r>
      <w:rPr>
        <w:rFonts w:ascii="Arial" w:hAnsi="Arial" w:cs="Arial"/>
        <w:sz w:val="16"/>
      </w:rPr>
      <w:t xml:space="preserve"> </w:t>
    </w:r>
  </w:p>
  <w:p w:rsidR="003F5C5B" w:rsidRDefault="003F5C5B">
    <w:pPr>
      <w:pStyle w:val="Bunntekst"/>
    </w:pPr>
    <w:r w:rsidRPr="00711C1A">
      <w:rPr>
        <w:rFonts w:ascii="Arial" w:hAnsi="Arial" w:cs="Arial"/>
        <w:sz w:val="16"/>
      </w:rPr>
      <w:t xml:space="preserve">Dato </w:t>
    </w:r>
    <w:r w:rsidR="00FC7C94">
      <w:rPr>
        <w:rFonts w:ascii="Arial" w:hAnsi="Arial" w:cs="Arial"/>
        <w:sz w:val="16"/>
      </w:rPr>
      <w:t>08.01.15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5A6707">
      <w:rPr>
        <w:rFonts w:ascii="Arial" w:hAnsi="Arial" w:cs="Arial"/>
        <w:sz w:val="16"/>
      </w:rPr>
      <w:fldChar w:fldCharType="begin"/>
    </w:r>
    <w:r w:rsidRPr="005A6707">
      <w:rPr>
        <w:rFonts w:ascii="Arial" w:hAnsi="Arial" w:cs="Arial"/>
        <w:sz w:val="16"/>
      </w:rPr>
      <w:instrText>PAGE   \* MERGEFORMAT</w:instrText>
    </w:r>
    <w:r w:rsidRPr="005A6707">
      <w:rPr>
        <w:rFonts w:ascii="Arial" w:hAnsi="Arial" w:cs="Arial"/>
        <w:sz w:val="16"/>
      </w:rPr>
      <w:fldChar w:fldCharType="separate"/>
    </w:r>
    <w:r w:rsidR="003E7F84">
      <w:rPr>
        <w:rFonts w:ascii="Arial" w:hAnsi="Arial" w:cs="Arial"/>
        <w:noProof/>
        <w:sz w:val="16"/>
      </w:rPr>
      <w:t>1</w:t>
    </w:r>
    <w:r w:rsidRPr="005A670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F2" w:rsidRDefault="00B32FF2" w:rsidP="00711C1A">
      <w:pPr>
        <w:spacing w:after="0" w:line="240" w:lineRule="auto"/>
      </w:pPr>
      <w:r>
        <w:separator/>
      </w:r>
    </w:p>
  </w:footnote>
  <w:footnote w:type="continuationSeparator" w:id="0">
    <w:p w:rsidR="00B32FF2" w:rsidRDefault="00B32FF2" w:rsidP="0071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5B" w:rsidRDefault="003F5C5B">
    <w:pPr>
      <w:pStyle w:val="Topptekst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nb-NO"/>
      </w:rPr>
      <w:drawing>
        <wp:inline distT="0" distB="0" distL="0" distR="0">
          <wp:extent cx="1275080" cy="715645"/>
          <wp:effectExtent l="0" t="0" r="1270" b="8255"/>
          <wp:docPr id="2" name="Bilde 2" descr="Beskrivelse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2467"/>
    <w:multiLevelType w:val="hybridMultilevel"/>
    <w:tmpl w:val="7AC6A038"/>
    <w:lvl w:ilvl="0" w:tplc="B9100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111D7"/>
    <w:multiLevelType w:val="hybridMultilevel"/>
    <w:tmpl w:val="3B0804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0"/>
    <w:rsid w:val="00162688"/>
    <w:rsid w:val="001A6636"/>
    <w:rsid w:val="001E1CB9"/>
    <w:rsid w:val="002A5041"/>
    <w:rsid w:val="00303B9D"/>
    <w:rsid w:val="003E7F84"/>
    <w:rsid w:val="003F5C5B"/>
    <w:rsid w:val="0040636A"/>
    <w:rsid w:val="004A6AC6"/>
    <w:rsid w:val="004E1DC0"/>
    <w:rsid w:val="00504A29"/>
    <w:rsid w:val="00506707"/>
    <w:rsid w:val="0059032B"/>
    <w:rsid w:val="005A6707"/>
    <w:rsid w:val="005E3078"/>
    <w:rsid w:val="005F20C0"/>
    <w:rsid w:val="00653831"/>
    <w:rsid w:val="00666B9F"/>
    <w:rsid w:val="00671725"/>
    <w:rsid w:val="00711C1A"/>
    <w:rsid w:val="00753D82"/>
    <w:rsid w:val="007F287A"/>
    <w:rsid w:val="008F55F2"/>
    <w:rsid w:val="00942301"/>
    <w:rsid w:val="00962DE1"/>
    <w:rsid w:val="00B32FF2"/>
    <w:rsid w:val="00BD030B"/>
    <w:rsid w:val="00C76F31"/>
    <w:rsid w:val="00CC197B"/>
    <w:rsid w:val="00D57AAC"/>
    <w:rsid w:val="00D66F21"/>
    <w:rsid w:val="00E43D7B"/>
    <w:rsid w:val="00F46C06"/>
    <w:rsid w:val="00F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11D038-5178-4404-A54F-92F18D5F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11C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711C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11C1A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11C1A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1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11C1A"/>
  </w:style>
  <w:style w:type="paragraph" w:styleId="Bunntekst">
    <w:name w:val="footer"/>
    <w:basedOn w:val="Normal"/>
    <w:link w:val="BunntekstTegn"/>
    <w:uiPriority w:val="99"/>
    <w:unhideWhenUsed/>
    <w:rsid w:val="0071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11C1A"/>
  </w:style>
  <w:style w:type="paragraph" w:styleId="Bobletekst">
    <w:name w:val="Balloon Text"/>
    <w:basedOn w:val="Normal"/>
    <w:link w:val="BobletekstTegn"/>
    <w:uiPriority w:val="99"/>
    <w:semiHidden/>
    <w:unhideWhenUsed/>
    <w:rsid w:val="007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/cgi-wift/ldles?doc=/sf/sf/sf-20060331-037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beidstilsynet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4331-A6D4-47D4-9B96-082B6F96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1536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Jernbanetilsyn</Company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Hui</dc:creator>
  <cp:lastModifiedBy>Terje Owrehagen</cp:lastModifiedBy>
  <cp:revision>3</cp:revision>
  <dcterms:created xsi:type="dcterms:W3CDTF">2016-08-09T11:50:00Z</dcterms:created>
  <dcterms:modified xsi:type="dcterms:W3CDTF">2016-08-09T11:50:00Z</dcterms:modified>
</cp:coreProperties>
</file>